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15723</wp:posOffset>
            </wp:positionV>
            <wp:extent cx="1604456" cy="1243013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456" cy="1243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EN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ind w:left="432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AL-ALAC-ST-0222-01-00-EN</w:t>
      </w:r>
    </w:p>
    <w:p w:rsidR="00000000" w:rsidDel="00000000" w:rsidP="00000000" w:rsidRDefault="00000000" w:rsidRPr="00000000" w14:paraId="00000007">
      <w:pPr>
        <w:spacing w:line="276" w:lineRule="auto"/>
        <w:ind w:left="432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ORIGINAL: English</w:t>
      </w:r>
    </w:p>
    <w:p w:rsidR="00000000" w:rsidDel="00000000" w:rsidP="00000000" w:rsidRDefault="00000000" w:rsidRPr="00000000" w14:paraId="00000008">
      <w:pPr>
        <w:spacing w:line="276" w:lineRule="auto"/>
        <w:ind w:left="504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DATE: 17 February 2022</w:t>
      </w:r>
    </w:p>
    <w:p w:rsidR="00000000" w:rsidDel="00000000" w:rsidP="00000000" w:rsidRDefault="00000000" w:rsidRPr="00000000" w14:paraId="00000009">
      <w:pPr>
        <w:spacing w:line="276" w:lineRule="auto"/>
        <w:ind w:left="432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STATUS: Pending Ratification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AT-LARGE ADVISORY COMMITTEE</w:t>
      </w:r>
    </w:p>
    <w:p w:rsidR="00000000" w:rsidDel="00000000" w:rsidP="00000000" w:rsidRDefault="00000000" w:rsidRPr="00000000" w14:paraId="0000000D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ALAC Statement on </w:t>
      </w:r>
      <w:hyperlink r:id="rId7">
        <w:r w:rsidDel="00000000" w:rsidR="00000000" w:rsidRPr="00000000">
          <w:rPr>
            <w:b w:val="1"/>
            <w:highlight w:val="white"/>
            <w:rtl w:val="0"/>
          </w:rPr>
          <w:t xml:space="preserve">ICANN Bylaws Amendments: ccNSO-Proposed Changes to Article 10 and Annex 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-220" w:right="-2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11">
      <w:pPr>
        <w:spacing w:line="276" w:lineRule="auto"/>
        <w:ind w:left="-220" w:right="-2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  <w:t xml:space="preserve">On 17 February 2022, Public Comment opened for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ICANN Bylaws Amendments: ccNSO-Proposed Changes to Article 10 and Annex B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 the same day, an At-Large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workspace</w:t>
        </w:r>
      </w:hyperlink>
      <w:r w:rsidDel="00000000" w:rsidR="00000000" w:rsidRPr="00000000">
        <w:rPr>
          <w:rtl w:val="0"/>
        </w:rPr>
        <w:t xml:space="preserve"> was created for the statement. The At-Large Operations, Finance and Budget Working Group (OFB-WG) decided it would be in the interest of end users to develop a short ALAC statement on the Public Comment. Holly Raiche, Chair of OFB-WG; Ricardo Holmquist, Vice Chair of OFB-WG; Jonathan Zuck and Olivier Crepin-LeBlond, Co-Chairs of the At-Large Consolidated Policy Working Group (CPWG), Barrack Otieno, Liaison to the ccNSO; and Maureen Hilyard, ALAC Chair, volunteered to form a small drafting team for the ALAC statement. </w:t>
      </w:r>
    </w:p>
    <w:p w:rsidR="00000000" w:rsidDel="00000000" w:rsidP="00000000" w:rsidRDefault="00000000" w:rsidRPr="00000000" w14:paraId="00000013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  <w:t xml:space="preserve">On 24 February 2022, Holly Raiche presented the draft ALAC statement to the OFB-WG during their bi-weekly meeting and asked the OFB-WG to provide final input on the statement. ICANN Policy staff in support of the At-Large community asked the ALAC Chair, Maureen Hilyard if she wished to have a vote or a consensus call.</w:t>
      </w:r>
    </w:p>
    <w:p w:rsidR="00000000" w:rsidDel="00000000" w:rsidP="00000000" w:rsidRDefault="00000000" w:rsidRPr="00000000" w14:paraId="00000015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  <w:t xml:space="preserve">On 24 February 2020, Maureen Hilyard, ALAC chair, requested that the statement be sent out to ALAC for a 48 hour consensus call.</w:t>
      </w:r>
    </w:p>
    <w:p w:rsidR="00000000" w:rsidDel="00000000" w:rsidP="00000000" w:rsidRDefault="00000000" w:rsidRPr="00000000" w14:paraId="00000017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b w:val="1"/>
          <w:highlight w:val="white"/>
          <w:rtl w:val="0"/>
        </w:rPr>
        <w:t xml:space="preserve">ALAC Statement on </w:t>
      </w:r>
      <w:hyperlink r:id="rId10">
        <w:r w:rsidDel="00000000" w:rsidR="00000000" w:rsidRPr="00000000">
          <w:rPr>
            <w:b w:val="1"/>
            <w:highlight w:val="white"/>
            <w:rtl w:val="0"/>
          </w:rPr>
          <w:t xml:space="preserve">ICANN Bylaws Amendments: ccNSO-Proposed Changes to Article 10 and Annex 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  <w:t xml:space="preserve">The ALAC appreciates the opportunity to respond to the ccNSO proposed changes to the Bylaws. Our understanding of the proposals is that they would address the </w:t>
      </w:r>
      <w:r w:rsidDel="00000000" w:rsidR="00000000" w:rsidRPr="00000000">
        <w:rPr>
          <w:rtl w:val="0"/>
        </w:rPr>
        <w:t xml:space="preserve">situation</w:t>
      </w:r>
      <w:r w:rsidDel="00000000" w:rsidR="00000000" w:rsidRPr="00000000">
        <w:rPr>
          <w:rtl w:val="0"/>
        </w:rPr>
        <w:t xml:space="preserve"> where a voting imbalance is created where there is more than one ccTLD member in a country/territory, allowing those members to choose an ‘emissary’ for voting purposes.  It looks to be a </w:t>
      </w:r>
      <w:r w:rsidDel="00000000" w:rsidR="00000000" w:rsidRPr="00000000">
        <w:rPr>
          <w:rtl w:val="0"/>
        </w:rPr>
        <w:t xml:space="preserve">democratic</w:t>
      </w:r>
      <w:r w:rsidDel="00000000" w:rsidR="00000000" w:rsidRPr="00000000">
        <w:rPr>
          <w:rtl w:val="0"/>
        </w:rPr>
        <w:t xml:space="preserve"> way of resolving the issue.</w:t>
      </w:r>
    </w:p>
    <w:p w:rsidR="00000000" w:rsidDel="00000000" w:rsidP="00000000" w:rsidRDefault="00000000" w:rsidRPr="00000000" w14:paraId="00000023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  <w:t xml:space="preserve">As the proposed changes do not raise issues for end users, we have no further comment except to support the proposed changes.</w:t>
      </w:r>
    </w:p>
    <w:p w:rsidR="00000000" w:rsidDel="00000000" w:rsidP="00000000" w:rsidRDefault="00000000" w:rsidRPr="00000000" w14:paraId="00000025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-220" w:right="-2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ommunity.icann.org/display/alacpolicydev/At-Large+Workspace%3A+ICANN+Bylaws+Amendments%3A+ccNSO-Proposed+Changes+to+Article+10+and+Annex+B" TargetMode="External"/><Relationship Id="rId9" Type="http://schemas.openxmlformats.org/officeDocument/2006/relationships/hyperlink" Target="https://community.icann.org/x/UtcGCw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ommunity.icann.org/display/alacpolicydev/At-Large+Workspace%3A+ICANN+Bylaws+Amendments%3A+ccNSO-Proposed+Changes+to+Article+10+and+Annex+B" TargetMode="External"/><Relationship Id="rId8" Type="http://schemas.openxmlformats.org/officeDocument/2006/relationships/hyperlink" Target="https://community.icann.org/x/UtcG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