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EE" w:rsidRPr="008358EE" w:rsidRDefault="008358EE" w:rsidP="008358EE">
      <w:pPr>
        <w:pStyle w:val="Heading2"/>
        <w:spacing w:before="0" w:after="240"/>
        <w:rPr>
          <w:sz w:val="32"/>
          <w:szCs w:val="32"/>
        </w:rPr>
      </w:pPr>
      <w:r w:rsidRPr="008358EE">
        <w:rPr>
          <w:sz w:val="32"/>
          <w:szCs w:val="32"/>
        </w:rPr>
        <w:t>ALAC RoP – Version 2 – Change Log</w:t>
      </w:r>
    </w:p>
    <w:p w:rsidR="00482777" w:rsidRDefault="00482777" w:rsidP="00482777">
      <w:pPr>
        <w:pStyle w:val="Heading3"/>
        <w:spacing w:before="0" w:after="120"/>
      </w:pPr>
      <w:bookmarkStart w:id="0" w:name="OLE_LINK1"/>
      <w:bookmarkStart w:id="1" w:name="OLE_LINK2"/>
      <w:r>
        <w:t xml:space="preserve">The following changes </w:t>
      </w:r>
      <w:proofErr w:type="gramStart"/>
      <w:r>
        <w:t>either correct errors in the RoP, or document and</w:t>
      </w:r>
      <w:proofErr w:type="gramEnd"/>
      <w:r>
        <w:t xml:space="preserve"> codify what has become standard practice.</w:t>
      </w:r>
    </w:p>
    <w:bookmarkEnd w:id="0"/>
    <w:bookmarkEnd w:id="1"/>
    <w:p w:rsidR="008358EE" w:rsidRDefault="008358EE" w:rsidP="00263302">
      <w:pPr>
        <w:spacing w:after="120"/>
        <w:ind w:left="1728" w:hanging="1728"/>
      </w:pPr>
      <w:r>
        <w:t>Section 2</w:t>
      </w:r>
      <w:r>
        <w:tab/>
        <w:t>Update URL</w:t>
      </w:r>
    </w:p>
    <w:p w:rsidR="008358EE" w:rsidRDefault="008358EE" w:rsidP="00263302">
      <w:pPr>
        <w:spacing w:after="120"/>
        <w:ind w:left="1728" w:hanging="1728"/>
      </w:pPr>
      <w:r>
        <w:t>Section 3.1.2</w:t>
      </w:r>
      <w:r>
        <w:tab/>
        <w:t>Update URL</w:t>
      </w:r>
    </w:p>
    <w:p w:rsidR="008358EE" w:rsidRDefault="008358EE" w:rsidP="00263302">
      <w:pPr>
        <w:spacing w:after="120"/>
        <w:ind w:left="1728" w:hanging="1728"/>
      </w:pPr>
      <w:r>
        <w:t>Section 3.5.4-6</w:t>
      </w:r>
      <w:r>
        <w:tab/>
      </w:r>
      <w:proofErr w:type="gramStart"/>
      <w:r>
        <w:t>Documenting</w:t>
      </w:r>
      <w:proofErr w:type="gramEnd"/>
      <w:r>
        <w:t xml:space="preserve"> what has been the standard practice for several years.</w:t>
      </w:r>
    </w:p>
    <w:p w:rsidR="008358EE" w:rsidRDefault="008358EE" w:rsidP="00263302">
      <w:pPr>
        <w:spacing w:after="120"/>
        <w:ind w:left="1728" w:hanging="1728"/>
      </w:pPr>
      <w:proofErr w:type="gramStart"/>
      <w:r>
        <w:t>Section 11.4.2</w:t>
      </w:r>
      <w:r>
        <w:tab/>
        <w:t>Applies to Consensus Calls as well (which according to Section 12.1.2 must allow sufficient time).</w:t>
      </w:r>
      <w:proofErr w:type="gramEnd"/>
    </w:p>
    <w:p w:rsidR="008358EE" w:rsidRDefault="008358EE" w:rsidP="00263302">
      <w:pPr>
        <w:spacing w:after="120"/>
        <w:ind w:left="1728" w:hanging="1728"/>
      </w:pPr>
      <w:r>
        <w:t>Section 11.4.3</w:t>
      </w:r>
      <w:r>
        <w:tab/>
        <w:t>Consensus calls electronically are deemed to have quorum, so this rule only applies to those in meetings.</w:t>
      </w:r>
    </w:p>
    <w:p w:rsidR="008358EE" w:rsidRDefault="008358EE" w:rsidP="00263302">
      <w:pPr>
        <w:spacing w:after="120"/>
        <w:ind w:left="1728" w:hanging="1728"/>
      </w:pPr>
      <w:r>
        <w:t>Section 11.6.3</w:t>
      </w:r>
      <w:r>
        <w:tab/>
      </w:r>
      <w:proofErr w:type="gramStart"/>
      <w:r>
        <w:t>We</w:t>
      </w:r>
      <w:proofErr w:type="gramEnd"/>
      <w:r>
        <w:t xml:space="preserve"> routinely neglect to ask for a second, and for votes or Consensus </w:t>
      </w:r>
      <w:r w:rsidR="00263302">
        <w:t>decisions</w:t>
      </w:r>
      <w:r>
        <w:t xml:space="preserve"> online, waiting for a Second before discussion can begin does not make a lot of sense. There has never been a situation where a Second was called for and did not happen. So it is not particularly meaningful.</w:t>
      </w:r>
    </w:p>
    <w:p w:rsidR="008358EE" w:rsidRDefault="008358EE" w:rsidP="00263302">
      <w:pPr>
        <w:spacing w:after="120"/>
        <w:ind w:left="1728" w:hanging="1728"/>
      </w:pPr>
      <w:r>
        <w:tab/>
        <w:t>This change removes the need for a Second, but also prevents anyone making a motion and having to go through a discussion and vote process is there is NO other support.</w:t>
      </w:r>
    </w:p>
    <w:p w:rsidR="00263302" w:rsidRDefault="00263302" w:rsidP="00263302">
      <w:pPr>
        <w:spacing w:after="120"/>
        <w:ind w:left="1728" w:hanging="1728"/>
      </w:pPr>
      <w:r>
        <w:t>Section 11.6.6.1</w:t>
      </w:r>
      <w:r>
        <w:tab/>
        <w:t xml:space="preserve">Change required because of the previous one making a </w:t>
      </w:r>
      <w:proofErr w:type="gramStart"/>
      <w:r>
        <w:t>Second</w:t>
      </w:r>
      <w:proofErr w:type="gramEnd"/>
      <w:r>
        <w:t xml:space="preserve"> optional.</w:t>
      </w:r>
    </w:p>
    <w:p w:rsidR="00263302" w:rsidRDefault="00263302" w:rsidP="00263302">
      <w:pPr>
        <w:spacing w:after="120"/>
        <w:ind w:left="1728" w:hanging="1728"/>
      </w:pPr>
      <w:r>
        <w:t>Section 11.8.4</w:t>
      </w:r>
      <w:r>
        <w:tab/>
      </w:r>
      <w:proofErr w:type="gramStart"/>
      <w:r>
        <w:t>This</w:t>
      </w:r>
      <w:proofErr w:type="gramEnd"/>
      <w:r>
        <w:t xml:space="preserve"> fixes a problem. According to Section 11.8.3, the Chair could disallow a procedural motion, but it would still have to have been decided by the ALAC!</w:t>
      </w:r>
    </w:p>
    <w:p w:rsidR="00263302" w:rsidRDefault="00263302" w:rsidP="00263302">
      <w:pPr>
        <w:spacing w:after="120"/>
        <w:ind w:left="1728" w:hanging="1728"/>
      </w:pPr>
      <w:r>
        <w:t>Section 12.3.10</w:t>
      </w:r>
      <w:r>
        <w:tab/>
      </w:r>
      <w:proofErr w:type="gramStart"/>
      <w:r>
        <w:t>Fixes</w:t>
      </w:r>
      <w:proofErr w:type="gramEnd"/>
      <w:r>
        <w:t xml:space="preserve"> a problem of several sections referring to “votes” where they should have included Consensus decisions.</w:t>
      </w:r>
    </w:p>
    <w:p w:rsidR="00263302" w:rsidRDefault="002457BB" w:rsidP="00263302">
      <w:pPr>
        <w:spacing w:after="120"/>
        <w:ind w:left="1728" w:hanging="1728"/>
      </w:pPr>
      <w:r>
        <w:t>Section 14.4.1</w:t>
      </w:r>
      <w:r>
        <w:tab/>
        <w:t>Update URL</w:t>
      </w:r>
    </w:p>
    <w:p w:rsidR="002457BB" w:rsidRDefault="002457BB" w:rsidP="00263302">
      <w:pPr>
        <w:spacing w:after="120"/>
        <w:ind w:left="1728" w:hanging="1728"/>
      </w:pPr>
      <w:r>
        <w:t>Section 16.3</w:t>
      </w:r>
      <w:r>
        <w:tab/>
        <w:t xml:space="preserve">At the time the RoP were written, it was presumed that with only one nominee, that person would be acclaimed – that had always been the practice in the ALAC. Since that time it has become apparent that in some groups, that is not </w:t>
      </w:r>
      <w:r w:rsidR="00482777">
        <w:t>obvious</w:t>
      </w:r>
      <w:r>
        <w:t>, so the ALAC standard practice should be documented.</w:t>
      </w:r>
    </w:p>
    <w:p w:rsidR="00202390" w:rsidRDefault="00482777" w:rsidP="00202390">
      <w:pPr>
        <w:pStyle w:val="Heading3"/>
        <w:spacing w:before="0" w:after="120"/>
      </w:pPr>
      <w:r>
        <w:t>The following changes are all associated with the Selection of the At-Large Director and implement what was recommended by the 2014 BMSPC as discussed at the ALAC Meeting of</w:t>
      </w:r>
      <w:r w:rsidR="00202390">
        <w:t xml:space="preserve"> 26 April 2016.</w:t>
      </w:r>
    </w:p>
    <w:p w:rsidR="00202390" w:rsidRDefault="00202390" w:rsidP="00202390">
      <w:pPr>
        <w:spacing w:after="120"/>
        <w:ind w:left="1728" w:hanging="1728"/>
      </w:pPr>
      <w:r>
        <w:t>Section 19.2</w:t>
      </w:r>
      <w:r>
        <w:tab/>
        <w:t xml:space="preserve">This sets the number of BMSPC member per region at two (instead of two or more) and has </w:t>
      </w:r>
      <w:proofErr w:type="spellStart"/>
      <w:proofErr w:type="gramStart"/>
      <w:r>
        <w:t>a</w:t>
      </w:r>
      <w:proofErr w:type="spellEnd"/>
      <w:proofErr w:type="gramEnd"/>
      <w:r>
        <w:t xml:space="preserve"> Alternate selected per region in the case of a member not being able to carry out his/her role. Since the person may not be willing to resign, the BMSPC chair may make the replacement, but only in accordance with set guidelines (approved by the ALAC). The original rules allowed the ALAC to name the BMSPC Chair, or leave it </w:t>
      </w:r>
      <w:r>
        <w:lastRenderedPageBreak/>
        <w:t>to the BMSPC and the revision removes that last option (the ALAC must name the Chair).</w:t>
      </w:r>
    </w:p>
    <w:p w:rsidR="00202390" w:rsidRDefault="00202390" w:rsidP="00202390">
      <w:pPr>
        <w:spacing w:after="120"/>
        <w:ind w:left="1728" w:hanging="1728"/>
      </w:pPr>
      <w:r>
        <w:t>Section 19.2.1</w:t>
      </w:r>
      <w:r>
        <w:tab/>
      </w:r>
      <w:proofErr w:type="gramStart"/>
      <w:r w:rsidR="00225264">
        <w:t>A</w:t>
      </w:r>
      <w:r>
        <w:t>dds</w:t>
      </w:r>
      <w:proofErr w:type="gramEnd"/>
      <w:r>
        <w:t xml:space="preserve"> the requirement to have interaction between the candidates and electors.</w:t>
      </w:r>
    </w:p>
    <w:p w:rsidR="00202390" w:rsidRDefault="00202390" w:rsidP="00202390">
      <w:pPr>
        <w:spacing w:after="120"/>
        <w:ind w:left="1728" w:hanging="1728"/>
      </w:pPr>
      <w:r>
        <w:t>Section 19.2.2</w:t>
      </w:r>
      <w:r>
        <w:tab/>
      </w:r>
      <w:r w:rsidR="00225264">
        <w:t>I</w:t>
      </w:r>
      <w:r>
        <w:t>n the case of deadlock or urgency</w:t>
      </w:r>
      <w:r w:rsidR="00225264">
        <w:t>, the BMSPC Chair may take action.</w:t>
      </w:r>
    </w:p>
    <w:p w:rsidR="00225264" w:rsidRDefault="00225264" w:rsidP="00202390">
      <w:pPr>
        <w:spacing w:after="120"/>
        <w:ind w:left="1728" w:hanging="1728"/>
      </w:pPr>
      <w:r>
        <w:t>Section 19.3</w:t>
      </w:r>
      <w:r>
        <w:tab/>
        <w:t>Adds the concept of an Alternate to the BCEC, similar to that for the BMSPC.</w:t>
      </w:r>
    </w:p>
    <w:p w:rsidR="00225264" w:rsidRDefault="00225264" w:rsidP="00202390">
      <w:pPr>
        <w:spacing w:after="120"/>
        <w:ind w:left="1728" w:hanging="1728"/>
      </w:pPr>
      <w:r>
        <w:t>Section 19.4.2-4</w:t>
      </w:r>
      <w:r>
        <w:tab/>
        <w:t>Disclosure and publication of BCEC guidelines.</w:t>
      </w:r>
    </w:p>
    <w:p w:rsidR="00225264" w:rsidRDefault="00225264" w:rsidP="00202390">
      <w:pPr>
        <w:spacing w:after="120"/>
        <w:ind w:left="1728" w:hanging="1728"/>
      </w:pPr>
      <w:r>
        <w:t>Section 19.8</w:t>
      </w:r>
      <w:r>
        <w:tab/>
      </w:r>
      <w:proofErr w:type="gramStart"/>
      <w:r>
        <w:t>Adds</w:t>
      </w:r>
      <w:proofErr w:type="gramEnd"/>
      <w:r>
        <w:t xml:space="preserve"> the term “guidelines” to “procedures”</w:t>
      </w:r>
    </w:p>
    <w:p w:rsidR="00225264" w:rsidRDefault="00225264" w:rsidP="00202390">
      <w:pPr>
        <w:spacing w:after="120"/>
        <w:ind w:left="1728" w:hanging="1728"/>
      </w:pPr>
      <w:r>
        <w:t>Section 19.10.1</w:t>
      </w:r>
      <w:r>
        <w:tab/>
      </w:r>
      <w:proofErr w:type="gramStart"/>
      <w:r>
        <w:t>Clarifies</w:t>
      </w:r>
      <w:proofErr w:type="gramEnd"/>
      <w:r>
        <w:t xml:space="preserve"> the rules for naming replacement electors.</w:t>
      </w:r>
    </w:p>
    <w:p w:rsidR="00225264" w:rsidRDefault="00225264" w:rsidP="00202390">
      <w:pPr>
        <w:spacing w:after="120"/>
        <w:ind w:left="1728" w:hanging="1728"/>
      </w:pPr>
      <w:r>
        <w:t>Section 19.10.4</w:t>
      </w:r>
      <w:r>
        <w:tab/>
        <w:t>Clarifies that “best interests” is not an objective fact but a perception of the elector.</w:t>
      </w:r>
    </w:p>
    <w:p w:rsidR="00225264" w:rsidRDefault="00225264" w:rsidP="00202390">
      <w:pPr>
        <w:spacing w:after="120"/>
        <w:ind w:left="1728" w:hanging="1728"/>
      </w:pPr>
      <w:r>
        <w:t>Section 19.10.5</w:t>
      </w:r>
      <w:r>
        <w:tab/>
        <w:t>Defines in what conditions a proxy may be used (such as if the elector will be in transit and cannot communicate) and makes it clear that such proxies must be directed.</w:t>
      </w:r>
    </w:p>
    <w:p w:rsidR="00225264" w:rsidRDefault="00225264" w:rsidP="00202390">
      <w:pPr>
        <w:spacing w:after="120"/>
        <w:ind w:left="1728" w:hanging="1728"/>
      </w:pPr>
      <w:r>
        <w:t>Section 19.11.1</w:t>
      </w:r>
      <w:r>
        <w:tab/>
      </w:r>
      <w:proofErr w:type="gramStart"/>
      <w:r>
        <w:t>Remove</w:t>
      </w:r>
      <w:r w:rsidR="00867DD9">
        <w:t>s</w:t>
      </w:r>
      <w:proofErr w:type="gramEnd"/>
      <w:r>
        <w:t xml:space="preserve"> the ability of the BMSPC to define proxies (replaced by Section 19.10.5).</w:t>
      </w:r>
    </w:p>
    <w:p w:rsidR="00867DD9" w:rsidRDefault="00867DD9" w:rsidP="00202390">
      <w:pPr>
        <w:spacing w:after="120"/>
        <w:ind w:left="1728" w:hanging="1728"/>
      </w:pPr>
      <w:r>
        <w:t>Section 19.11.3</w:t>
      </w:r>
      <w:r>
        <w:tab/>
      </w:r>
      <w:proofErr w:type="gramStart"/>
      <w:r>
        <w:t>More</w:t>
      </w:r>
      <w:proofErr w:type="gramEnd"/>
      <w:r>
        <w:t xml:space="preserve"> carefully defines the voting method to be used, following consultation with the At-Large electronic vote service provider, </w:t>
      </w:r>
      <w:proofErr w:type="spellStart"/>
      <w:r>
        <w:t>BigPulse</w:t>
      </w:r>
      <w:proofErr w:type="spellEnd"/>
      <w:r>
        <w:t>.</w:t>
      </w:r>
      <w:r w:rsidR="003322D5">
        <w:t xml:space="preserve"> Interim results will be published.</w:t>
      </w:r>
    </w:p>
    <w:p w:rsidR="003322D5" w:rsidRDefault="003322D5" w:rsidP="00202390">
      <w:pPr>
        <w:spacing w:after="120"/>
        <w:ind w:left="1728" w:hanging="1728"/>
      </w:pPr>
      <w:r>
        <w:t>Section 19.11.4</w:t>
      </w:r>
      <w:r>
        <w:tab/>
      </w:r>
      <w:proofErr w:type="gramStart"/>
      <w:r w:rsidR="00616675">
        <w:t>A</w:t>
      </w:r>
      <w:proofErr w:type="gramEnd"/>
      <w:r w:rsidR="00616675">
        <w:t xml:space="preserve"> variety of methods are proposed as there was no unanimity in the revision committee</w:t>
      </w:r>
      <w:r>
        <w:t>.</w:t>
      </w:r>
    </w:p>
    <w:p w:rsidR="003322D5" w:rsidRDefault="003322D5" w:rsidP="00202390">
      <w:pPr>
        <w:spacing w:after="120"/>
        <w:ind w:left="1728" w:hanging="1728"/>
      </w:pPr>
      <w:r>
        <w:t>Section 19.11.5</w:t>
      </w:r>
      <w:r>
        <w:tab/>
        <w:t>Results published after each round</w:t>
      </w:r>
    </w:p>
    <w:p w:rsidR="003322D5" w:rsidRDefault="003322D5" w:rsidP="00202390">
      <w:pPr>
        <w:spacing w:after="120"/>
        <w:ind w:left="1728" w:hanging="1728"/>
      </w:pPr>
      <w:r>
        <w:t>Section 19.11.6</w:t>
      </w:r>
      <w:r>
        <w:tab/>
      </w:r>
      <w:r w:rsidR="00616675">
        <w:t>Depending on the option selected in 19.11.4, there may be no need for random selection according to 19.11.6.</w:t>
      </w:r>
    </w:p>
    <w:p w:rsidR="003322D5" w:rsidRDefault="003322D5" w:rsidP="00202390">
      <w:pPr>
        <w:spacing w:after="120"/>
        <w:ind w:left="1728" w:hanging="1728"/>
      </w:pPr>
      <w:r>
        <w:t>Section 19.11.7</w:t>
      </w:r>
      <w:r>
        <w:tab/>
      </w:r>
      <w:r w:rsidR="00616675">
        <w:t>Allow time to re-consider.</w:t>
      </w:r>
      <w:bookmarkStart w:id="2" w:name="_GoBack"/>
      <w:bookmarkEnd w:id="2"/>
      <w:r>
        <w:t xml:space="preserve"> </w:t>
      </w:r>
    </w:p>
    <w:p w:rsidR="003322D5" w:rsidRDefault="003322D5" w:rsidP="00202390">
      <w:pPr>
        <w:spacing w:after="120"/>
        <w:ind w:left="1728" w:hanging="1728"/>
      </w:pPr>
    </w:p>
    <w:p w:rsidR="00867DD9" w:rsidRDefault="00867DD9" w:rsidP="00202390">
      <w:pPr>
        <w:spacing w:after="120"/>
        <w:ind w:left="1728" w:hanging="1728"/>
      </w:pPr>
    </w:p>
    <w:p w:rsidR="00225264" w:rsidRDefault="00225264" w:rsidP="00202390">
      <w:pPr>
        <w:spacing w:after="120"/>
        <w:ind w:left="1728" w:hanging="1728"/>
      </w:pPr>
    </w:p>
    <w:p w:rsidR="00225264" w:rsidRPr="00202390" w:rsidRDefault="00225264" w:rsidP="00202390">
      <w:pPr>
        <w:spacing w:after="120"/>
        <w:ind w:left="1728" w:hanging="1728"/>
      </w:pPr>
    </w:p>
    <w:sectPr w:rsidR="00225264" w:rsidRPr="00202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EE"/>
    <w:rsid w:val="00202390"/>
    <w:rsid w:val="00225264"/>
    <w:rsid w:val="002457BB"/>
    <w:rsid w:val="00263302"/>
    <w:rsid w:val="003322D5"/>
    <w:rsid w:val="00482777"/>
    <w:rsid w:val="00545F65"/>
    <w:rsid w:val="00616675"/>
    <w:rsid w:val="008358EE"/>
    <w:rsid w:val="00867DD9"/>
    <w:rsid w:val="00A85B5D"/>
    <w:rsid w:val="00CE1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5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7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7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7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7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5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7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7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7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7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dcterms:created xsi:type="dcterms:W3CDTF">2016-05-31T23:09:00Z</dcterms:created>
  <dcterms:modified xsi:type="dcterms:W3CDTF">2016-06-06T07:54:00Z</dcterms:modified>
</cp:coreProperties>
</file>